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53" w:rsidRDefault="00973753" w:rsidP="00AA2601">
      <w:pPr>
        <w:spacing w:before="0" w:after="0"/>
        <w:jc w:val="center"/>
      </w:pPr>
      <w:r>
        <w:t>PARADISIACAL PARALLELOMANIA: EVALUATING ALLEGED CONNECTIONS BETWEEN THE GARDEN OF EDEN AND GOD’S TEMPLE</w:t>
      </w:r>
    </w:p>
    <w:p w:rsidR="00AA2601" w:rsidRDefault="00AA2601" w:rsidP="00AA2601">
      <w:pPr>
        <w:spacing w:before="0" w:after="0"/>
        <w:jc w:val="center"/>
      </w:pPr>
      <w:r>
        <w:t>John C. Nugent</w:t>
      </w:r>
    </w:p>
    <w:p w:rsidR="000A195A" w:rsidRDefault="000A195A" w:rsidP="000A195A">
      <w:r>
        <w:t>Lately, scholars have been making much of parallels between the garden of Eden and the tabernacle or Jerusalem temple.</w:t>
      </w:r>
      <w:r>
        <w:rPr>
          <w:rStyle w:val="FootnoteReference"/>
          <w:rFonts w:asciiTheme="majorBidi" w:hAnsiTheme="majorBidi" w:cstheme="majorBidi"/>
          <w:szCs w:val="24"/>
        </w:rPr>
        <w:footnoteReference w:id="1"/>
      </w:r>
      <w:r>
        <w:t xml:space="preserve"> These parallels sometimes inform their understanding of Christian mission. G. K. Beale has been most influential in this regard. His thesis about God’s </w:t>
      </w:r>
      <w:proofErr w:type="spellStart"/>
      <w:r>
        <w:t>tabernacling</w:t>
      </w:r>
      <w:proofErr w:type="spellEnd"/>
      <w:r>
        <w:t xml:space="preserve"> presence in the garden establishes a strong link between Adam’s purpose, Israel’s vocation, and the church’s mission:</w:t>
      </w:r>
    </w:p>
    <w:p w:rsidR="000A195A" w:rsidRDefault="000A195A" w:rsidP="000A195A">
      <w:pPr>
        <w:pStyle w:val="IndentedQuote"/>
      </w:pPr>
      <w:r>
        <w:t>Adam’s purpose in that first garden-temple was to expand its boundaries until it circumscribed the earth, so that the earth would be completely filled with God’s glorious presence. Adam’s failure led, in time, to the re-establishment of the tabernacle and temple in Israel. Both were patterned after the model of Eden and were constructed to symbolize the entire cosmos in order to signify that Israel’s purpose as corporate Adam was to extend its borders by faithfully obeying God and spreading his glorious presence throughout the earth</w:t>
      </w:r>
      <w:proofErr w:type="gramStart"/>
      <w:r>
        <w:t>. . . .</w:t>
      </w:r>
      <w:proofErr w:type="gramEnd"/>
      <w:r>
        <w:t xml:space="preserve"> </w:t>
      </w:r>
      <w:r>
        <w:rPr>
          <w:i/>
        </w:rPr>
        <w:t>The church is to be God’s temple, so filled with his glorious presence that we expand and fill the earth with that presence until God finally accomplishes the goal completely at the end of time!</w:t>
      </w:r>
      <w:r>
        <w:t xml:space="preserve"> This is our common mission. May the church of the twenty-first century unite in order to attain this goal (emphasis original).</w:t>
      </w:r>
      <w:r>
        <w:rPr>
          <w:rStyle w:val="FootnoteReference"/>
          <w:rFonts w:asciiTheme="majorBidi" w:hAnsiTheme="majorBidi" w:cstheme="majorBidi"/>
          <w:szCs w:val="24"/>
        </w:rPr>
        <w:footnoteReference w:id="2"/>
      </w:r>
    </w:p>
    <w:p w:rsidR="000A195A" w:rsidRDefault="000A195A" w:rsidP="000A195A">
      <w:r>
        <w:t xml:space="preserve">If Beale is right, then recovering the sense of divine presence once enjoyed in Eden is central to Christian mission. </w:t>
      </w:r>
      <w:r w:rsidR="00B46FB6">
        <w:t xml:space="preserve">If he’s not, then we ought to look elsewhere if we want to ground the church’s mission in Scripture. This essay, examines </w:t>
      </w:r>
      <w:r>
        <w:t>his evidence</w:t>
      </w:r>
      <w:r w:rsidR="003F1F5D">
        <w:t xml:space="preserve"> and finds it lacking</w:t>
      </w:r>
      <w:r>
        <w:t>. Beale enumerates eleven parallels between the garden of Eden and Israel’s sanctuaries.</w:t>
      </w:r>
      <w:r>
        <w:rPr>
          <w:rStyle w:val="FootnoteReference"/>
          <w:rFonts w:asciiTheme="majorBidi" w:hAnsiTheme="majorBidi" w:cstheme="majorBidi"/>
          <w:szCs w:val="24"/>
        </w:rPr>
        <w:footnoteReference w:id="3"/>
      </w:r>
      <w:r>
        <w:t xml:space="preserve"> The sheer number of parallels appears to be quite compelling—but a</w:t>
      </w:r>
      <w:r w:rsidR="003122A5">
        <w:t xml:space="preserve"> good</w:t>
      </w:r>
      <w:r>
        <w:t xml:space="preserve"> number of weak points do not add up to a</w:t>
      </w:r>
      <w:r w:rsidR="003122A5">
        <w:t xml:space="preserve"> single</w:t>
      </w:r>
      <w:r>
        <w:t xml:space="preserve"> strong point. At the risk of overkill, I briefly present and critique each of Beale’s alleged parallels.</w:t>
      </w:r>
    </w:p>
    <w:p w:rsidR="000A195A" w:rsidRDefault="000A195A" w:rsidP="000A195A">
      <w:pPr>
        <w:pStyle w:val="ListNumber"/>
        <w:numPr>
          <w:ilvl w:val="0"/>
          <w:numId w:val="4"/>
        </w:numPr>
      </w:pPr>
      <w:r>
        <w:t xml:space="preserve">The garden, like the tabernacle, is the unique place of God’s presence since he walked and talked with Adam there. </w:t>
      </w:r>
    </w:p>
    <w:p w:rsidR="001278A9" w:rsidRDefault="006F4DF1" w:rsidP="000A195A">
      <w:pPr>
        <w:pStyle w:val="ListNumber"/>
        <w:numPr>
          <w:ilvl w:val="0"/>
          <w:numId w:val="0"/>
        </w:numPr>
        <w:ind w:left="720"/>
      </w:pPr>
      <w:r>
        <w:t>This claim is foundational to Beale’s thesis</w:t>
      </w:r>
      <w:r w:rsidR="000A195A">
        <w:t xml:space="preserve"> and it is among the weakest. To begin with, Genesis never says that God uniquely resided in the garden—not before the fall and certainly not after it. </w:t>
      </w:r>
      <w:r w:rsidR="00904053">
        <w:t>Scholars</w:t>
      </w:r>
      <w:r>
        <w:t xml:space="preserve"> like John Walton</w:t>
      </w:r>
      <w:r w:rsidR="00904053">
        <w:t xml:space="preserve"> so</w:t>
      </w:r>
      <w:r w:rsidR="001278A9">
        <w:t>metimes claim that after creating</w:t>
      </w:r>
      <w:r w:rsidR="00904053">
        <w:t xml:space="preserve"> the world</w:t>
      </w:r>
      <w:r w:rsidR="001278A9">
        <w:t xml:space="preserve"> in six days</w:t>
      </w:r>
      <w:r w:rsidR="00904053">
        <w:t xml:space="preserve">, God rested in </w:t>
      </w:r>
      <w:r w:rsidR="001278A9">
        <w:t>his cosmic sanctuary</w:t>
      </w:r>
      <w:r w:rsidR="001278A9">
        <w:rPr>
          <w:rStyle w:val="FootnoteReference"/>
        </w:rPr>
        <w:footnoteReference w:id="4"/>
      </w:r>
      <w:r w:rsidR="001278A9">
        <w:t>—that is, his newly minted creation—</w:t>
      </w:r>
      <w:r w:rsidR="00904053">
        <w:t xml:space="preserve">but the text doesn’t </w:t>
      </w:r>
      <w:r w:rsidR="001278A9">
        <w:t xml:space="preserve">even </w:t>
      </w:r>
      <w:r w:rsidR="00904053">
        <w:t xml:space="preserve">say that. It </w:t>
      </w:r>
      <w:r w:rsidR="001278A9">
        <w:t>never mentions</w:t>
      </w:r>
      <w:r w:rsidR="00904053">
        <w:t xml:space="preserve"> where God rest</w:t>
      </w:r>
      <w:r w:rsidR="001278A9">
        <w:t>ed</w:t>
      </w:r>
      <w:r w:rsidR="00904053">
        <w:t xml:space="preserve">, only that he </w:t>
      </w:r>
      <w:r w:rsidR="00AE3300">
        <w:t>ceased</w:t>
      </w:r>
      <w:r w:rsidR="00904053">
        <w:t xml:space="preserve"> from his creative labors</w:t>
      </w:r>
      <w:r w:rsidR="00AE3300">
        <w:t xml:space="preserve"> (Gen 2:2-3)</w:t>
      </w:r>
      <w:r w:rsidR="00904053">
        <w:t xml:space="preserve">. </w:t>
      </w:r>
      <w:r w:rsidR="000A195A">
        <w:t xml:space="preserve">Furthermore, the text </w:t>
      </w:r>
      <w:r w:rsidR="001278A9">
        <w:t>doesn’t say</w:t>
      </w:r>
      <w:r w:rsidR="000A195A">
        <w:t xml:space="preserve"> that God </w:t>
      </w:r>
      <w:r w:rsidR="001278A9">
        <w:t>walked</w:t>
      </w:r>
      <w:r w:rsidR="000A195A">
        <w:t xml:space="preserve"> </w:t>
      </w:r>
      <w:r w:rsidR="000A195A" w:rsidRPr="000A195A">
        <w:rPr>
          <w:i/>
        </w:rPr>
        <w:t xml:space="preserve">with </w:t>
      </w:r>
      <w:r w:rsidR="000A195A">
        <w:rPr>
          <w:i/>
        </w:rPr>
        <w:t>humans</w:t>
      </w:r>
      <w:r w:rsidR="000A195A">
        <w:t xml:space="preserve"> </w:t>
      </w:r>
      <w:r w:rsidR="001278A9">
        <w:t>in the garden</w:t>
      </w:r>
      <w:r w:rsidR="000A195A">
        <w:t xml:space="preserve">. After Adam and Eve sin, </w:t>
      </w:r>
      <w:r w:rsidR="001278A9">
        <w:t xml:space="preserve">they hear </w:t>
      </w:r>
      <w:r w:rsidR="00AE3300">
        <w:t>God</w:t>
      </w:r>
      <w:r w:rsidR="000A195A">
        <w:t xml:space="preserve"> walking </w:t>
      </w:r>
      <w:r w:rsidR="00AE3300">
        <w:t>“</w:t>
      </w:r>
      <w:r w:rsidR="000A195A">
        <w:t>to and fro</w:t>
      </w:r>
      <w:r w:rsidR="00AE3300">
        <w:t>”</w:t>
      </w:r>
      <w:r w:rsidR="000A195A">
        <w:t xml:space="preserve"> in the garden, presumably looking fo</w:t>
      </w:r>
      <w:r w:rsidR="00904053">
        <w:t>r them</w:t>
      </w:r>
      <w:r>
        <w:t xml:space="preserve"> since they are hiding</w:t>
      </w:r>
      <w:r w:rsidR="003122A5">
        <w:t>. B</w:t>
      </w:r>
      <w:r w:rsidR="00904053">
        <w:t xml:space="preserve">ut he is never depicted as </w:t>
      </w:r>
      <w:r w:rsidR="00904053">
        <w:lastRenderedPageBreak/>
        <w:t xml:space="preserve">walking </w:t>
      </w:r>
      <w:r w:rsidR="00904053">
        <w:rPr>
          <w:i/>
        </w:rPr>
        <w:t>with them</w:t>
      </w:r>
      <w:r w:rsidR="00904053">
        <w:t xml:space="preserve">. This stands in contrasts with </w:t>
      </w:r>
      <w:r w:rsidR="001278A9">
        <w:t>later passages</w:t>
      </w:r>
      <w:r>
        <w:t xml:space="preserve"> that directly state that God walked</w:t>
      </w:r>
      <w:r w:rsidR="00904053">
        <w:t xml:space="preserve"> with Enoch (Gen 5:22-24) and</w:t>
      </w:r>
      <w:r w:rsidR="001278A9">
        <w:t xml:space="preserve"> with</w:t>
      </w:r>
      <w:r w:rsidR="00904053">
        <w:t xml:space="preserve"> Noah (Gen 6:9)</w:t>
      </w:r>
      <w:r w:rsidR="001278A9">
        <w:t xml:space="preserve">. </w:t>
      </w:r>
    </w:p>
    <w:p w:rsidR="000845BA" w:rsidRPr="000845BA" w:rsidRDefault="00FF7660" w:rsidP="000A195A">
      <w:pPr>
        <w:pStyle w:val="ListNumber"/>
        <w:numPr>
          <w:ilvl w:val="0"/>
          <w:numId w:val="0"/>
        </w:numPr>
        <w:ind w:left="720"/>
      </w:pPr>
      <w:r>
        <w:t>I</w:t>
      </w:r>
      <w:r w:rsidR="000845BA">
        <w:t xml:space="preserve">t is important </w:t>
      </w:r>
      <w:r>
        <w:t xml:space="preserve">for Beale </w:t>
      </w:r>
      <w:r w:rsidR="000845BA">
        <w:t xml:space="preserve">that God walked “to and fro,” which is one way of rendering the </w:t>
      </w:r>
      <w:proofErr w:type="spellStart"/>
      <w:r w:rsidR="000845BA">
        <w:t>Hithpael</w:t>
      </w:r>
      <w:proofErr w:type="spellEnd"/>
      <w:r w:rsidR="00463C88">
        <w:t xml:space="preserve"> or reflexive</w:t>
      </w:r>
      <w:r w:rsidR="000845BA">
        <w:t xml:space="preserve"> form of </w:t>
      </w:r>
      <w:proofErr w:type="spellStart"/>
      <w:r w:rsidR="000845BA">
        <w:rPr>
          <w:i/>
        </w:rPr>
        <w:t>halak</w:t>
      </w:r>
      <w:proofErr w:type="spellEnd"/>
      <w:r w:rsidR="00AE3300">
        <w:t xml:space="preserve">, </w:t>
      </w:r>
      <w:r>
        <w:t>the Hebrew term</w:t>
      </w:r>
      <w:r w:rsidR="00AE3300">
        <w:t xml:space="preserve"> for</w:t>
      </w:r>
      <w:r w:rsidR="000845BA">
        <w:t xml:space="preserve"> walk</w:t>
      </w:r>
      <w:r w:rsidR="00463C88">
        <w:t xml:space="preserve">. </w:t>
      </w:r>
      <w:r>
        <w:t>It</w:t>
      </w:r>
      <w:r w:rsidR="00463C88">
        <w:t xml:space="preserve"> is important</w:t>
      </w:r>
      <w:r w:rsidR="000845BA">
        <w:t xml:space="preserve"> because Leviticus 26:12</w:t>
      </w:r>
      <w:r w:rsidR="00463C88">
        <w:t xml:space="preserve"> </w:t>
      </w:r>
      <w:r w:rsidR="003F1F5D">
        <w:t>and other passages depict God</w:t>
      </w:r>
      <w:r w:rsidR="000845BA">
        <w:t xml:space="preserve"> as walking “to and fro” in the tabernacle.</w:t>
      </w:r>
      <w:r w:rsidR="00463C88">
        <w:rPr>
          <w:rStyle w:val="FootnoteReference"/>
        </w:rPr>
        <w:footnoteReference w:id="5"/>
      </w:r>
      <w:r w:rsidR="000845BA">
        <w:t xml:space="preserve"> But the meaning of </w:t>
      </w:r>
      <w:r w:rsidR="00AE3300">
        <w:t xml:space="preserve">this </w:t>
      </w:r>
      <w:r w:rsidR="000845BA">
        <w:t xml:space="preserve">verbal form differs depending on </w:t>
      </w:r>
      <w:r>
        <w:t>the</w:t>
      </w:r>
      <w:r w:rsidR="000845BA">
        <w:t xml:space="preserve"> </w:t>
      </w:r>
      <w:r>
        <w:t>temporal context</w:t>
      </w:r>
      <w:r w:rsidR="000845BA">
        <w:t>. It matters whether one is walking “to and fro” over a long period of time or at a specific point in time. Over a long period of time,</w:t>
      </w:r>
      <w:r>
        <w:t xml:space="preserve"> like we find in Leviticus 26,</w:t>
      </w:r>
      <w:r w:rsidR="000845BA">
        <w:t xml:space="preserve"> God’s walking </w:t>
      </w:r>
      <w:r w:rsidR="00AE3300">
        <w:t>“</w:t>
      </w:r>
      <w:r w:rsidR="000845BA">
        <w:t>to and fro</w:t>
      </w:r>
      <w:r w:rsidR="00AE3300">
        <w:t>”</w:t>
      </w:r>
      <w:r w:rsidR="000845BA">
        <w:t xml:space="preserve"> meant that he would visit his people from time to time precisely at the site of the tabernacle. </w:t>
      </w:r>
      <w:r w:rsidR="00463C88">
        <w:t xml:space="preserve">God was not </w:t>
      </w:r>
      <w:r w:rsidR="0030708A">
        <w:t>constantly</w:t>
      </w:r>
      <w:r w:rsidR="00463C88">
        <w:t xml:space="preserve"> walking around in</w:t>
      </w:r>
      <w:r w:rsidR="003F1F5D">
        <w:t>side</w:t>
      </w:r>
      <w:r w:rsidR="00463C88">
        <w:t xml:space="preserve"> the tabernacle. </w:t>
      </w:r>
      <w:r w:rsidR="000845BA">
        <w:t xml:space="preserve">But in </w:t>
      </w:r>
      <w:r>
        <w:t>Genesis 3</w:t>
      </w:r>
      <w:r w:rsidR="000845BA">
        <w:t>, God</w:t>
      </w:r>
      <w:r w:rsidR="00463C88">
        <w:t>’s walking</w:t>
      </w:r>
      <w:r w:rsidR="000845BA">
        <w:t xml:space="preserve"> </w:t>
      </w:r>
      <w:r>
        <w:t>“</w:t>
      </w:r>
      <w:r w:rsidR="000845BA">
        <w:t>to and fro</w:t>
      </w:r>
      <w:r>
        <w:t>” is a punctiliar event that</w:t>
      </w:r>
      <w:r w:rsidR="000845BA">
        <w:t xml:space="preserve"> </w:t>
      </w:r>
      <w:r w:rsidR="00463C88">
        <w:t>creates a</w:t>
      </w:r>
      <w:r>
        <w:t xml:space="preserve"> specific</w:t>
      </w:r>
      <w:r w:rsidR="00463C88">
        <w:t xml:space="preserve"> sound that </w:t>
      </w:r>
      <w:r w:rsidR="000845BA">
        <w:t xml:space="preserve">Adam and Eve </w:t>
      </w:r>
      <w:r>
        <w:t xml:space="preserve">hear, which causes them to be afraid and to </w:t>
      </w:r>
      <w:r w:rsidR="00463C88">
        <w:t>hide from him because they had sinned</w:t>
      </w:r>
      <w:r w:rsidR="000845BA">
        <w:t xml:space="preserve">. </w:t>
      </w:r>
      <w:r w:rsidR="00463C88">
        <w:t xml:space="preserve">Indeed, some scholars suggest that </w:t>
      </w:r>
      <w:r w:rsidR="003F1F5D">
        <w:t xml:space="preserve">Genesis 3 portrays </w:t>
      </w:r>
      <w:r w:rsidR="00463C88">
        <w:t xml:space="preserve">God as </w:t>
      </w:r>
      <w:r w:rsidR="000845BA">
        <w:t>pacing</w:t>
      </w:r>
      <w:r>
        <w:t xml:space="preserve"> “back and forth” </w:t>
      </w:r>
      <w:r w:rsidR="00463C88">
        <w:t>because he is comin</w:t>
      </w:r>
      <w:r w:rsidR="003F1F5D">
        <w:t>g in judg</w:t>
      </w:r>
      <w:r w:rsidR="00463C88">
        <w:t>ment</w:t>
      </w:r>
      <w:r w:rsidR="000845BA">
        <w:t>.</w:t>
      </w:r>
      <w:r w:rsidR="00463C88">
        <w:rPr>
          <w:rStyle w:val="FootnoteReference"/>
        </w:rPr>
        <w:footnoteReference w:id="6"/>
      </w:r>
      <w:r>
        <w:t xml:space="preserve"> This parallels the flaming</w:t>
      </w:r>
      <w:r w:rsidR="000845BA">
        <w:t xml:space="preserve"> sword at the end of the chapter that is flashing </w:t>
      </w:r>
      <w:r w:rsidR="0030708A">
        <w:t>back and forth,</w:t>
      </w:r>
      <w:r w:rsidR="000845BA">
        <w:t xml:space="preserve"> which is also in the </w:t>
      </w:r>
      <w:proofErr w:type="spellStart"/>
      <w:r w:rsidR="000845BA">
        <w:t>Hithpael</w:t>
      </w:r>
      <w:proofErr w:type="spellEnd"/>
      <w:r w:rsidR="000845BA">
        <w:t xml:space="preserve"> form</w:t>
      </w:r>
      <w:r>
        <w:t xml:space="preserve"> (Gen 3:24)</w:t>
      </w:r>
      <w:r w:rsidR="000845BA">
        <w:t xml:space="preserve">. </w:t>
      </w:r>
      <w:r w:rsidR="003F1F5D">
        <w:t>While this passage</w:t>
      </w:r>
      <w:r w:rsidR="00136ED0">
        <w:t xml:space="preserve"> may fall short </w:t>
      </w:r>
      <w:r w:rsidR="003F1F5D">
        <w:t>of presenting a full-blown judg</w:t>
      </w:r>
      <w:r w:rsidR="00136ED0">
        <w:t xml:space="preserve">ment theophany, it hardly </w:t>
      </w:r>
      <w:r w:rsidR="0030708A">
        <w:t>constitutes firm evidence</w:t>
      </w:r>
      <w:r w:rsidR="00136ED0">
        <w:t xml:space="preserve"> that God took routine garden walks with Adam and Eve. </w:t>
      </w:r>
    </w:p>
    <w:p w:rsidR="000A195A" w:rsidRDefault="0030708A" w:rsidP="000A195A">
      <w:pPr>
        <w:pStyle w:val="ListNumber"/>
        <w:numPr>
          <w:ilvl w:val="0"/>
          <w:numId w:val="0"/>
        </w:numPr>
        <w:ind w:left="720"/>
      </w:pPr>
      <w:r>
        <w:t>On the other hand</w:t>
      </w:r>
      <w:r w:rsidR="00136ED0">
        <w:t>, t</w:t>
      </w:r>
      <w:r w:rsidR="001278A9">
        <w:t xml:space="preserve">here is </w:t>
      </w:r>
      <w:r w:rsidR="00136ED0">
        <w:t>ample</w:t>
      </w:r>
      <w:r w:rsidR="001278A9">
        <w:t xml:space="preserve"> evidence that God talked with Adam and Eve</w:t>
      </w:r>
      <w:r w:rsidR="00A14FE4" w:rsidRPr="00A14FE4">
        <w:t xml:space="preserve"> </w:t>
      </w:r>
      <w:r w:rsidR="00A14FE4">
        <w:t>in the garden</w:t>
      </w:r>
      <w:r w:rsidR="001278A9">
        <w:t>, at least</w:t>
      </w:r>
      <w:r w:rsidR="00136ED0">
        <w:t xml:space="preserve"> </w:t>
      </w:r>
      <w:r w:rsidR="00A14FE4">
        <w:t>twice</w:t>
      </w:r>
      <w:r w:rsidR="001278A9">
        <w:t xml:space="preserve"> </w:t>
      </w:r>
      <w:r w:rsidR="00136ED0">
        <w:t>(2:16 and 3:9-19)</w:t>
      </w:r>
      <w:r w:rsidR="006F4DF1">
        <w:t>. But such conversation</w:t>
      </w:r>
      <w:r w:rsidR="00A14FE4">
        <w:t>s</w:t>
      </w:r>
      <w:r w:rsidR="006F4DF1">
        <w:t xml:space="preserve"> </w:t>
      </w:r>
      <w:r w:rsidR="00A14FE4">
        <w:t>are</w:t>
      </w:r>
      <w:r w:rsidR="006F4DF1">
        <w:t xml:space="preserve"> not unique to paradise. God </w:t>
      </w:r>
      <w:r w:rsidR="00A14FE4">
        <w:t xml:space="preserve">later </w:t>
      </w:r>
      <w:r w:rsidR="006F4DF1">
        <w:t>speaks with Cain, Noah, and several of the patr</w:t>
      </w:r>
      <w:r w:rsidR="003F1F5D">
        <w:t>iarchs on multiple occasions. Thus,</w:t>
      </w:r>
      <w:r w:rsidR="006F4DF1">
        <w:t xml:space="preserve"> as far as Genesis is concerned, conversation with God is not uniquely tied to sanctuaries</w:t>
      </w:r>
      <w:r w:rsidR="003122A5">
        <w:t xml:space="preserve"> or limited to the garden</w:t>
      </w:r>
      <w:r w:rsidR="00136ED0">
        <w:t xml:space="preserve"> of Eden</w:t>
      </w:r>
      <w:r w:rsidR="000A195A">
        <w:t xml:space="preserve">. </w:t>
      </w:r>
    </w:p>
    <w:p w:rsidR="00D63A65" w:rsidRDefault="000A195A" w:rsidP="000A195A">
      <w:pPr>
        <w:pStyle w:val="ListNumber"/>
        <w:numPr>
          <w:ilvl w:val="0"/>
          <w:numId w:val="4"/>
        </w:numPr>
      </w:pPr>
      <w:r>
        <w:t xml:space="preserve">The garden housed the first priest. Though Adam is never identified by overt priestly language, he is called to “serve” </w:t>
      </w:r>
      <w:r w:rsidR="00323043">
        <w:t>(</w:t>
      </w:r>
      <w:proofErr w:type="spellStart"/>
      <w:r w:rsidR="00323043" w:rsidRPr="00323043">
        <w:rPr>
          <w:i/>
        </w:rPr>
        <w:t>avad</w:t>
      </w:r>
      <w:proofErr w:type="spellEnd"/>
      <w:r w:rsidR="00323043">
        <w:t xml:space="preserve">) </w:t>
      </w:r>
      <w:r w:rsidRPr="00323043">
        <w:t>and</w:t>
      </w:r>
      <w:r>
        <w:t xml:space="preserve"> “keep”</w:t>
      </w:r>
      <w:r w:rsidR="00323043">
        <w:t xml:space="preserve"> (</w:t>
      </w:r>
      <w:proofErr w:type="spellStart"/>
      <w:r w:rsidR="00323043">
        <w:rPr>
          <w:i/>
        </w:rPr>
        <w:t>shamar</w:t>
      </w:r>
      <w:proofErr w:type="spellEnd"/>
      <w:r w:rsidR="00323043">
        <w:t>)</w:t>
      </w:r>
      <w:r>
        <w:t xml:space="preserve"> the garden. In Torah, priests “serve” in the tabernacle and they are repeatedly called to “keep” Torah. Sometimes they are even called to “keep” the “service” of the tabernacle (e.g., Num 3:7-8). </w:t>
      </w:r>
    </w:p>
    <w:p w:rsidR="000A195A" w:rsidRDefault="000A195A" w:rsidP="00D63A65">
      <w:pPr>
        <w:pStyle w:val="ListNumber"/>
        <w:numPr>
          <w:ilvl w:val="0"/>
          <w:numId w:val="0"/>
        </w:numPr>
        <w:ind w:left="720"/>
      </w:pPr>
      <w:r>
        <w:t xml:space="preserve">Yet these </w:t>
      </w:r>
      <w:r w:rsidR="00323043">
        <w:t xml:space="preserve">Hebrew </w:t>
      </w:r>
      <w:r>
        <w:t>terms</w:t>
      </w:r>
      <w:r w:rsidR="00323043">
        <w:t xml:space="preserve"> for serving and keeping</w:t>
      </w:r>
      <w:r>
        <w:t xml:space="preserve"> are quite generic and may be used with regard to a wide variety of occupations, including horticulture</w:t>
      </w:r>
      <w:r w:rsidR="00323043">
        <w:t xml:space="preserve"> and farming</w:t>
      </w:r>
      <w:r>
        <w:t>. They are not technical priestly terms</w:t>
      </w:r>
      <w:r w:rsidR="00A14FE4">
        <w:t>,</w:t>
      </w:r>
      <w:r>
        <w:t xml:space="preserve"> and there is nothing priestly about Adam’s status or role in these chapters. </w:t>
      </w:r>
      <w:r w:rsidR="00A14FE4">
        <w:t>It would be more accurate to say that Adam represents every man</w:t>
      </w:r>
      <w:r w:rsidR="00323043">
        <w:t xml:space="preserve"> in early Genesis</w:t>
      </w:r>
      <w:r>
        <w:t>, not priestly men.</w:t>
      </w:r>
    </w:p>
    <w:p w:rsidR="00D63A65" w:rsidRDefault="000A195A" w:rsidP="0003644D">
      <w:pPr>
        <w:pStyle w:val="ListNumber"/>
        <w:numPr>
          <w:ilvl w:val="0"/>
          <w:numId w:val="4"/>
        </w:numPr>
      </w:pPr>
      <w:r>
        <w:t>The garden is the first place we encounter cherubim, which play an important role in tabernacle and temple décor.</w:t>
      </w:r>
      <w:r w:rsidR="003122A5">
        <w:t xml:space="preserve"> Cherubim are placed</w:t>
      </w:r>
      <w:r w:rsidR="00647AF5">
        <w:t xml:space="preserve"> on both ends of the mercy seat (Exod 25:18-20) and they are woven into the tabernacle curtains (Exod 26:1). </w:t>
      </w:r>
      <w:r>
        <w:t xml:space="preserve"> </w:t>
      </w:r>
    </w:p>
    <w:p w:rsidR="00BF3438" w:rsidRDefault="000A195A" w:rsidP="00D63A65">
      <w:pPr>
        <w:pStyle w:val="ListNumber"/>
        <w:numPr>
          <w:ilvl w:val="0"/>
          <w:numId w:val="0"/>
        </w:numPr>
        <w:ind w:left="720"/>
      </w:pPr>
      <w:r>
        <w:t xml:space="preserve">Yet cherubim are nowhere described as being </w:t>
      </w:r>
      <w:r w:rsidRPr="00BF3438">
        <w:rPr>
          <w:i/>
        </w:rPr>
        <w:t>in</w:t>
      </w:r>
      <w:r>
        <w:t xml:space="preserve"> the garden of Eden. They only show up </w:t>
      </w:r>
      <w:r w:rsidRPr="00BF3438">
        <w:rPr>
          <w:i/>
        </w:rPr>
        <w:t>after</w:t>
      </w:r>
      <w:r>
        <w:t xml:space="preserve"> the Fall</w:t>
      </w:r>
      <w:r w:rsidR="00A14FE4">
        <w:t>,</w:t>
      </w:r>
      <w:r>
        <w:t xml:space="preserve"> and they are placed </w:t>
      </w:r>
      <w:r w:rsidRPr="00BF3438">
        <w:rPr>
          <w:i/>
        </w:rPr>
        <w:t>outside</w:t>
      </w:r>
      <w:r>
        <w:t xml:space="preserve"> the entrance to the garden </w:t>
      </w:r>
      <w:r w:rsidR="006069E8">
        <w:t xml:space="preserve">in order </w:t>
      </w:r>
      <w:r>
        <w:t>to keep humans out.</w:t>
      </w:r>
      <w:r w:rsidR="003122A5">
        <w:t xml:space="preserve"> </w:t>
      </w:r>
      <w:r w:rsidR="00323043">
        <w:t>Furthermore,</w:t>
      </w:r>
      <w:r w:rsidR="00543492">
        <w:t xml:space="preserve"> humans are not barred from the garden </w:t>
      </w:r>
      <w:r w:rsidR="003122A5">
        <w:t>because God is</w:t>
      </w:r>
      <w:r w:rsidR="00BF3438">
        <w:t xml:space="preserve"> </w:t>
      </w:r>
      <w:r w:rsidR="00543492">
        <w:t xml:space="preserve">there and </w:t>
      </w:r>
      <w:r w:rsidR="00BF3438">
        <w:t>no longer</w:t>
      </w:r>
      <w:r w:rsidR="00323043">
        <w:t xml:space="preserve"> wants them to</w:t>
      </w:r>
      <w:r w:rsidR="00BF3438">
        <w:t xml:space="preserve"> enjoy his presence. Rather</w:t>
      </w:r>
      <w:r w:rsidR="00D63A65">
        <w:t>,</w:t>
      </w:r>
      <w:r w:rsidR="00BF3438">
        <w:t xml:space="preserve"> </w:t>
      </w:r>
      <w:r w:rsidR="00543492">
        <w:t xml:space="preserve">Genesis 3:22-23 explicitly states that God </w:t>
      </w:r>
      <w:r w:rsidR="00323043">
        <w:t>banished</w:t>
      </w:r>
      <w:r w:rsidR="00543492">
        <w:t xml:space="preserve"> them </w:t>
      </w:r>
      <w:r w:rsidR="00BF3438">
        <w:t xml:space="preserve">so </w:t>
      </w:r>
      <w:r w:rsidR="00D63A65">
        <w:t>they</w:t>
      </w:r>
      <w:r w:rsidR="00BF3438">
        <w:t xml:space="preserve"> </w:t>
      </w:r>
      <w:r w:rsidR="00323043">
        <w:t>would</w:t>
      </w:r>
      <w:r w:rsidR="00BF3438">
        <w:t xml:space="preserve"> no longer have access to the tree of life and thus the ability to</w:t>
      </w:r>
      <w:r w:rsidR="00D63A65">
        <w:t xml:space="preserve"> partake from it and</w:t>
      </w:r>
      <w:r w:rsidR="00BF3438">
        <w:t xml:space="preserve"> live forever.</w:t>
      </w:r>
      <w:r w:rsidR="00543492">
        <w:t xml:space="preserve"> </w:t>
      </w:r>
      <w:r w:rsidR="00323043">
        <w:t xml:space="preserve">Whatever function the Cherubim may have elsewhere in Scripture, no evidence suggests that they represent God’s </w:t>
      </w:r>
      <w:proofErr w:type="spellStart"/>
      <w:r w:rsidR="00323043">
        <w:t>tabernacling</w:t>
      </w:r>
      <w:proofErr w:type="spellEnd"/>
      <w:r w:rsidR="00323043">
        <w:t xml:space="preserve"> presence in Genesis.</w:t>
      </w:r>
    </w:p>
    <w:p w:rsidR="00D63A65" w:rsidRDefault="000A195A" w:rsidP="0003644D">
      <w:pPr>
        <w:pStyle w:val="ListNumber"/>
        <w:numPr>
          <w:ilvl w:val="0"/>
          <w:numId w:val="4"/>
        </w:numPr>
      </w:pPr>
      <w:r>
        <w:t xml:space="preserve">The tree of life resembles the lampstand that we find in the tabernacle. It branches out like a tree and </w:t>
      </w:r>
      <w:r w:rsidR="005D5759">
        <w:t xml:space="preserve">it </w:t>
      </w:r>
      <w:r>
        <w:t xml:space="preserve">contains flower-like cups and petals. </w:t>
      </w:r>
    </w:p>
    <w:p w:rsidR="000A195A" w:rsidRDefault="000A195A" w:rsidP="00D63A65">
      <w:pPr>
        <w:pStyle w:val="ListNumber"/>
        <w:numPr>
          <w:ilvl w:val="0"/>
          <w:numId w:val="0"/>
        </w:numPr>
        <w:ind w:left="720"/>
      </w:pPr>
      <w:r>
        <w:lastRenderedPageBreak/>
        <w:t xml:space="preserve">Though the lampstand is patterned after </w:t>
      </w:r>
      <w:r w:rsidRPr="00BF3438">
        <w:rPr>
          <w:i/>
        </w:rPr>
        <w:t xml:space="preserve">a </w:t>
      </w:r>
      <w:r>
        <w:t>tree with flowers and p</w:t>
      </w:r>
      <w:r w:rsidR="005D5759">
        <w:t xml:space="preserve">etals (Exod 25:31-36), </w:t>
      </w:r>
      <w:r>
        <w:t xml:space="preserve">nothing connects it to </w:t>
      </w:r>
      <w:r w:rsidRPr="008B7A4F">
        <w:t>the</w:t>
      </w:r>
      <w:r w:rsidR="006069E8">
        <w:t xml:space="preserve"> tree of life</w:t>
      </w:r>
      <w:r>
        <w:t xml:space="preserve"> in particular, except that the latter is a tree.</w:t>
      </w:r>
      <w:r w:rsidR="006069E8">
        <w:t xml:space="preserve"> Since the tree of life bears </w:t>
      </w:r>
      <w:r w:rsidR="00647AF5">
        <w:t xml:space="preserve">edible </w:t>
      </w:r>
      <w:r w:rsidR="008B7A4F">
        <w:t>fruit, it i</w:t>
      </w:r>
      <w:r w:rsidR="006069E8">
        <w:t xml:space="preserve">s </w:t>
      </w:r>
      <w:r w:rsidR="003122A5">
        <w:t>reasonable</w:t>
      </w:r>
      <w:r w:rsidR="006069E8">
        <w:t xml:space="preserve"> to assume that it grows flowers and petals, but the Genesis text does not describe it as such</w:t>
      </w:r>
      <w:r w:rsidR="008B7A4F">
        <w:t>,</w:t>
      </w:r>
      <w:r w:rsidR="006069E8">
        <w:t xml:space="preserve"> and so there is no direct linguistic connection to the lampstand. </w:t>
      </w:r>
    </w:p>
    <w:p w:rsidR="00D63A65" w:rsidRDefault="000A195A" w:rsidP="000A195A">
      <w:pPr>
        <w:pStyle w:val="ListNumber"/>
        <w:numPr>
          <w:ilvl w:val="0"/>
          <w:numId w:val="4"/>
        </w:numPr>
      </w:pPr>
      <w:r>
        <w:t>The temple was decor</w:t>
      </w:r>
      <w:r w:rsidR="005D5759">
        <w:t xml:space="preserve">ated using floral arrangements, we learn in </w:t>
      </w:r>
      <w:r>
        <w:t>1 K</w:t>
      </w:r>
      <w:r w:rsidR="005D5759">
        <w:t>ings 6-7</w:t>
      </w:r>
      <w:r>
        <w:t xml:space="preserve">, thereby drawing upon garden of Eden imagery. </w:t>
      </w:r>
    </w:p>
    <w:p w:rsidR="000A195A" w:rsidRDefault="000A195A" w:rsidP="00D63A65">
      <w:pPr>
        <w:pStyle w:val="ListNumber"/>
        <w:numPr>
          <w:ilvl w:val="0"/>
          <w:numId w:val="0"/>
        </w:numPr>
        <w:ind w:left="720"/>
      </w:pPr>
      <w:r>
        <w:t xml:space="preserve">Yet there is nothing specifically Eden-like about floral arrangements. Flowers aren’t even mentioned in the Eden account. The fact that floral imagery is present in </w:t>
      </w:r>
      <w:r w:rsidR="005D5759">
        <w:t xml:space="preserve">later </w:t>
      </w:r>
      <w:r>
        <w:t>temple designs and not</w:t>
      </w:r>
      <w:r w:rsidRPr="000A195A">
        <w:rPr>
          <w:i/>
        </w:rPr>
        <w:t xml:space="preserve"> </w:t>
      </w:r>
      <w:r w:rsidR="005D5759">
        <w:t xml:space="preserve">early </w:t>
      </w:r>
      <w:r>
        <w:t>tabernacle designs suggest</w:t>
      </w:r>
      <w:r w:rsidR="005D5759">
        <w:t>s</w:t>
      </w:r>
      <w:r>
        <w:t xml:space="preserve"> that the imagery </w:t>
      </w:r>
      <w:r w:rsidR="005D5759">
        <w:t>may be</w:t>
      </w:r>
      <w:r>
        <w:t xml:space="preserve"> borrowed from</w:t>
      </w:r>
      <w:r w:rsidR="00647AF5">
        <w:t xml:space="preserve"> ANE</w:t>
      </w:r>
      <w:r>
        <w:t xml:space="preserve"> royal gardens</w:t>
      </w:r>
      <w:r w:rsidR="005D5759">
        <w:t>, where they are quite common,</w:t>
      </w:r>
      <w:r>
        <w:t xml:space="preserve"> </w:t>
      </w:r>
      <w:r w:rsidR="003122A5">
        <w:t>rather than</w:t>
      </w:r>
      <w:r w:rsidR="00647AF5">
        <w:t xml:space="preserve"> from</w:t>
      </w:r>
      <w:r>
        <w:t xml:space="preserve"> the Eden account.</w:t>
      </w:r>
    </w:p>
    <w:p w:rsidR="00D63A65" w:rsidRDefault="000A195A" w:rsidP="000A195A">
      <w:pPr>
        <w:pStyle w:val="ListNumber"/>
        <w:numPr>
          <w:ilvl w:val="0"/>
          <w:numId w:val="4"/>
        </w:numPr>
      </w:pPr>
      <w:r>
        <w:t>Eden has a river flowing from it, just like the temple in Ezekiel 47 and</w:t>
      </w:r>
      <w:r w:rsidR="00647AF5">
        <w:t xml:space="preserve"> just like</w:t>
      </w:r>
      <w:r>
        <w:t xml:space="preserve"> God’s throne in Revelation 7. </w:t>
      </w:r>
    </w:p>
    <w:p w:rsidR="000A195A" w:rsidRDefault="000A195A" w:rsidP="00D63A65">
      <w:pPr>
        <w:pStyle w:val="ListNumber"/>
        <w:numPr>
          <w:ilvl w:val="0"/>
          <w:numId w:val="0"/>
        </w:numPr>
        <w:ind w:left="720"/>
      </w:pPr>
      <w:r>
        <w:t>Yet the river begins in the region of Eden, not</w:t>
      </w:r>
      <w:r w:rsidR="005D5759">
        <w:t xml:space="preserve"> in</w:t>
      </w:r>
      <w:r>
        <w:t xml:space="preserve"> the garden</w:t>
      </w:r>
      <w:r w:rsidR="008B7A4F">
        <w:t xml:space="preserve"> of Eden</w:t>
      </w:r>
      <w:r>
        <w:t xml:space="preserve"> (v. 10).</w:t>
      </w:r>
      <w:r>
        <w:rPr>
          <w:rStyle w:val="FootnoteReference"/>
          <w:rFonts w:asciiTheme="majorBidi" w:hAnsiTheme="majorBidi" w:cstheme="majorBidi"/>
          <w:szCs w:val="24"/>
        </w:rPr>
        <w:footnoteReference w:id="7"/>
      </w:r>
      <w:r>
        <w:t xml:space="preserve"> </w:t>
      </w:r>
      <w:r w:rsidR="005D5759">
        <w:t>It then</w:t>
      </w:r>
      <w:r>
        <w:t xml:space="preserve"> waters the garden before splitting off</w:t>
      </w:r>
      <w:r w:rsidR="003122A5">
        <w:t xml:space="preserve"> in different directions</w:t>
      </w:r>
      <w:r>
        <w:t xml:space="preserve">. </w:t>
      </w:r>
      <w:r w:rsidR="007E50B7">
        <w:t>So i</w:t>
      </w:r>
      <w:r>
        <w:t xml:space="preserve">f the garden is meant to signify God’s most holy presence, </w:t>
      </w:r>
      <w:r w:rsidR="005D5759">
        <w:t>Genesis</w:t>
      </w:r>
      <w:r>
        <w:t xml:space="preserve"> is the only </w:t>
      </w:r>
      <w:r w:rsidR="005D5759">
        <w:t>account</w:t>
      </w:r>
      <w:r>
        <w:t xml:space="preserve"> that does not depict the river as flowing from</w:t>
      </w:r>
      <w:r w:rsidRPr="000A195A">
        <w:rPr>
          <w:i/>
        </w:rPr>
        <w:t xml:space="preserve"> </w:t>
      </w:r>
      <w:r>
        <w:t>God’s most holy locale.</w:t>
      </w:r>
      <w:r w:rsidR="007E50B7">
        <w:t xml:space="preserve"> It is thus more likely</w:t>
      </w:r>
      <w:r w:rsidR="003122A5">
        <w:t xml:space="preserve"> that </w:t>
      </w:r>
      <w:r w:rsidR="007E50B7">
        <w:t>Ezekiel associates the river with God’s presence and that Revelation 7 borrows this imagery from Ezekiel and not</w:t>
      </w:r>
      <w:r w:rsidR="005D5759">
        <w:t xml:space="preserve"> from</w:t>
      </w:r>
      <w:r w:rsidR="007E50B7">
        <w:t xml:space="preserve"> Genesis. </w:t>
      </w:r>
    </w:p>
    <w:p w:rsidR="00D63A65" w:rsidRDefault="000A195A" w:rsidP="000A195A">
      <w:pPr>
        <w:pStyle w:val="ListNumber"/>
        <w:numPr>
          <w:ilvl w:val="0"/>
          <w:numId w:val="4"/>
        </w:numPr>
      </w:pPr>
      <w:r>
        <w:t xml:space="preserve">The garden is a place of two precious stones that are used in relation to the tabernacle and temple: gold and onyx. </w:t>
      </w:r>
    </w:p>
    <w:p w:rsidR="000A195A" w:rsidRDefault="000A195A" w:rsidP="00D63A65">
      <w:pPr>
        <w:pStyle w:val="ListNumber"/>
        <w:numPr>
          <w:ilvl w:val="0"/>
          <w:numId w:val="0"/>
        </w:numPr>
        <w:ind w:left="720"/>
      </w:pPr>
      <w:r>
        <w:t xml:space="preserve">This evidence is doubly weak. First, Genesis 2 actually mentions three stones: gold, bdellium, and onyx. Whereas gold is widely used throughout the tabernacle and temple, bdellium is not used at all, and onyx </w:t>
      </w:r>
      <w:r w:rsidR="007E50B7">
        <w:t>is not part of</w:t>
      </w:r>
      <w:r>
        <w:t xml:space="preserve"> the tabernacle</w:t>
      </w:r>
      <w:r w:rsidR="007E50B7">
        <w:t xml:space="preserve"> itself</w:t>
      </w:r>
      <w:r>
        <w:t>, but</w:t>
      </w:r>
      <w:r w:rsidR="00BF3438">
        <w:t xml:space="preserve"> part</w:t>
      </w:r>
      <w:r>
        <w:t xml:space="preserve"> </w:t>
      </w:r>
      <w:r w:rsidR="007E50B7">
        <w:t xml:space="preserve">of </w:t>
      </w:r>
      <w:r>
        <w:t xml:space="preserve">the priestly vestment (Exod 25:7). </w:t>
      </w:r>
      <w:r w:rsidR="00B214FC">
        <w:t>G</w:t>
      </w:r>
      <w:r>
        <w:t>old and onyx only appear together in on</w:t>
      </w:r>
      <w:r w:rsidR="00BF3438">
        <w:t>e passage regarding the temple, 1 Chron</w:t>
      </w:r>
      <w:r w:rsidR="00B214FC">
        <w:t>icles</w:t>
      </w:r>
      <w:r w:rsidR="00BF3438">
        <w:t xml:space="preserve"> 29:2, </w:t>
      </w:r>
      <w:r>
        <w:t xml:space="preserve">and </w:t>
      </w:r>
      <w:r w:rsidR="00BF3438">
        <w:t xml:space="preserve">there </w:t>
      </w:r>
      <w:r>
        <w:t xml:space="preserve">they </w:t>
      </w:r>
      <w:r w:rsidR="00BF3438">
        <w:t xml:space="preserve">are not grouped side by side but </w:t>
      </w:r>
      <w:r>
        <w:t xml:space="preserve">are </w:t>
      </w:r>
      <w:r w:rsidR="00BF3438">
        <w:t>numbered among</w:t>
      </w:r>
      <w:r>
        <w:t xml:space="preserve"> ten different precious stones. </w:t>
      </w:r>
      <w:r w:rsidR="00201593">
        <w:t>Thus</w:t>
      </w:r>
      <w:r>
        <w:t>, the three precious stones associated with Eden are n</w:t>
      </w:r>
      <w:r w:rsidR="00B214FC">
        <w:t>owhere</w:t>
      </w:r>
      <w:r>
        <w:t xml:space="preserve"> overtly grouped together in later sanctuary references. Second, and </w:t>
      </w:r>
      <w:r w:rsidR="00B214FC">
        <w:t xml:space="preserve">perhaps </w:t>
      </w:r>
      <w:r>
        <w:t xml:space="preserve">more problematic for Beale’s thesis, these precious stones aren’t even </w:t>
      </w:r>
      <w:r w:rsidR="00B214FC">
        <w:t>located in the garden of Eden. Rather, t</w:t>
      </w:r>
      <w:r>
        <w:t xml:space="preserve">hey are placed in the land of Havilah—a land that the river passes through only after it leaves the garden (Gen 2:10-12). </w:t>
      </w:r>
    </w:p>
    <w:p w:rsidR="00D63A65" w:rsidRDefault="000A195A" w:rsidP="000A195A">
      <w:pPr>
        <w:pStyle w:val="ListNumber"/>
        <w:numPr>
          <w:ilvl w:val="0"/>
          <w:numId w:val="4"/>
        </w:numPr>
      </w:pPr>
      <w:r>
        <w:t xml:space="preserve">The garden is located on a mountain, just like the temple later is. </w:t>
      </w:r>
    </w:p>
    <w:p w:rsidR="000A195A" w:rsidRDefault="000A195A" w:rsidP="00D63A65">
      <w:pPr>
        <w:pStyle w:val="ListNumber"/>
        <w:numPr>
          <w:ilvl w:val="0"/>
          <w:numId w:val="0"/>
        </w:numPr>
        <w:ind w:left="720"/>
      </w:pPr>
      <w:r>
        <w:t xml:space="preserve">Yet mountain language is not used of the garden of Eden in Genesis, only in Ezekiel. At most, this furnishes evidence </w:t>
      </w:r>
      <w:r w:rsidR="00CA6926">
        <w:t>for</w:t>
      </w:r>
      <w:r>
        <w:t xml:space="preserve"> a connection between Ezekiel’s Eden metaphor and the temple. </w:t>
      </w:r>
      <w:r w:rsidR="00CA6926">
        <w:t>Furthermore, i</w:t>
      </w:r>
      <w:r>
        <w:t>t sh</w:t>
      </w:r>
      <w:r w:rsidR="00CA6926">
        <w:t xml:space="preserve">ould not be forgotten </w:t>
      </w:r>
      <w:r>
        <w:t xml:space="preserve">that Ezekiel’s Eden is the metaphorical abode of the king of Tyre. </w:t>
      </w:r>
      <w:r w:rsidR="00B214FC">
        <w:t>Far from</w:t>
      </w:r>
      <w:r>
        <w:t xml:space="preserve"> represent</w:t>
      </w:r>
      <w:r w:rsidR="00B214FC">
        <w:t>ing</w:t>
      </w:r>
      <w:r>
        <w:t xml:space="preserve"> God’s </w:t>
      </w:r>
      <w:proofErr w:type="spellStart"/>
      <w:r>
        <w:t>tabernacling</w:t>
      </w:r>
      <w:proofErr w:type="spellEnd"/>
      <w:r>
        <w:t xml:space="preserve"> presence, </w:t>
      </w:r>
      <w:r w:rsidR="00B214FC">
        <w:t>it signifies the</w:t>
      </w:r>
      <w:r>
        <w:t xml:space="preserve"> bountiful wealth that a pagan king is about to lose.</w:t>
      </w:r>
    </w:p>
    <w:p w:rsidR="00D63A65" w:rsidRDefault="000A195A" w:rsidP="000A195A">
      <w:pPr>
        <w:pStyle w:val="ListNumber"/>
        <w:numPr>
          <w:ilvl w:val="0"/>
          <w:numId w:val="4"/>
        </w:numPr>
      </w:pPr>
      <w:r>
        <w:t xml:space="preserve">The garden has a tree of wisdom and the tabernacle has the ark, which contains the Ten Commandments, which are Israel’s source of wisdom. </w:t>
      </w:r>
    </w:p>
    <w:p w:rsidR="000A195A" w:rsidRDefault="00CA6926" w:rsidP="00D63A65">
      <w:pPr>
        <w:pStyle w:val="ListNumber"/>
        <w:numPr>
          <w:ilvl w:val="0"/>
          <w:numId w:val="0"/>
        </w:numPr>
        <w:ind w:left="720"/>
      </w:pPr>
      <w:r>
        <w:t>This too is a stretch. Israel’s wisdom literature associates wisdom with Torah, not the Ten Commandments, and the Ten Commandments in the ark represent God’s</w:t>
      </w:r>
      <w:r w:rsidR="00B214FC">
        <w:t xml:space="preserve"> specific</w:t>
      </w:r>
      <w:r>
        <w:t xml:space="preserve"> covenant with Israel, not wisdom in general. Even so, i</w:t>
      </w:r>
      <w:r w:rsidR="000A195A">
        <w:t xml:space="preserve">n </w:t>
      </w:r>
      <w:r w:rsidR="00B214FC">
        <w:t>Israel’s</w:t>
      </w:r>
      <w:r w:rsidR="000A195A">
        <w:t xml:space="preserve"> w</w:t>
      </w:r>
      <w:r w:rsidR="00BF3438">
        <w:t>isdom literature</w:t>
      </w:r>
      <w:r w:rsidR="00B214FC">
        <w:t>,</w:t>
      </w:r>
      <w:r w:rsidR="000A195A">
        <w:t xml:space="preserve"> wisdom is not associated with the tree of knowledge, but with the tree of life (</w:t>
      </w:r>
      <w:proofErr w:type="spellStart"/>
      <w:r w:rsidR="000A195A">
        <w:t>Prov</w:t>
      </w:r>
      <w:proofErr w:type="spellEnd"/>
      <w:r w:rsidR="000A195A">
        <w:t xml:space="preserve"> 3:18). </w:t>
      </w:r>
      <w:r>
        <w:t xml:space="preserve">Indeed, in Genesis, the tree of knowledge functions more like a tree of death as opposed to the tree of life. </w:t>
      </w:r>
      <w:r w:rsidR="000A195A">
        <w:t xml:space="preserve">Furthermore, God’s people are commanded to partake of Torah, whereas Adam was </w:t>
      </w:r>
      <w:r w:rsidR="000A195A">
        <w:lastRenderedPageBreak/>
        <w:t xml:space="preserve">forbidden from partaking of the tree of knowledge. </w:t>
      </w:r>
      <w:r w:rsidR="002B6F98">
        <w:t xml:space="preserve">So this parallel breaks down on multiple levels. </w:t>
      </w:r>
    </w:p>
    <w:p w:rsidR="00D63A65" w:rsidRDefault="000A195A" w:rsidP="000A195A">
      <w:pPr>
        <w:pStyle w:val="ListNumber"/>
        <w:numPr>
          <w:ilvl w:val="0"/>
          <w:numId w:val="4"/>
        </w:numPr>
      </w:pPr>
      <w:r>
        <w:t>The garden has an eastern entrance (Gen 3:24), just like the temple (</w:t>
      </w:r>
      <w:proofErr w:type="spellStart"/>
      <w:r>
        <w:t>Ezek</w:t>
      </w:r>
      <w:proofErr w:type="spellEnd"/>
      <w:r>
        <w:t xml:space="preserve"> 40:6). </w:t>
      </w:r>
    </w:p>
    <w:p w:rsidR="000A195A" w:rsidRDefault="000A195A" w:rsidP="00D63A65">
      <w:pPr>
        <w:pStyle w:val="ListNumber"/>
        <w:numPr>
          <w:ilvl w:val="0"/>
          <w:numId w:val="0"/>
        </w:numPr>
        <w:ind w:left="720"/>
      </w:pPr>
      <w:r>
        <w:t xml:space="preserve">Yet in Genesis, the “east” serves as more of an exit than an entrance. God drives the humans out and blocks their way back in with </w:t>
      </w:r>
      <w:r w:rsidR="00BF3438">
        <w:t xml:space="preserve">the </w:t>
      </w:r>
      <w:r>
        <w:t xml:space="preserve">cherubim and </w:t>
      </w:r>
      <w:r w:rsidR="002B6F98">
        <w:t xml:space="preserve">a </w:t>
      </w:r>
      <w:r>
        <w:t xml:space="preserve">flaming sword to make sure that it never actually serves as an entrance. Furthermore, in the </w:t>
      </w:r>
      <w:r w:rsidR="002B6F98">
        <w:t>primeval prologue</w:t>
      </w:r>
      <w:r>
        <w:t xml:space="preserve"> of Genesis, “east” </w:t>
      </w:r>
      <w:r w:rsidR="002B6F98">
        <w:t>serves more as</w:t>
      </w:r>
      <w:r>
        <w:t xml:space="preserve"> a symbol of trouble. Cain builds his city east of Eden and the builders of Babel also move east.</w:t>
      </w:r>
      <w:r>
        <w:rPr>
          <w:rStyle w:val="FootnoteReference"/>
          <w:rFonts w:asciiTheme="majorBidi" w:hAnsiTheme="majorBidi" w:cstheme="majorBidi"/>
          <w:szCs w:val="24"/>
        </w:rPr>
        <w:footnoteReference w:id="8"/>
      </w:r>
    </w:p>
    <w:p w:rsidR="00D63A65" w:rsidRDefault="000A195A" w:rsidP="000A195A">
      <w:pPr>
        <w:pStyle w:val="ListNumber"/>
        <w:numPr>
          <w:ilvl w:val="0"/>
          <w:numId w:val="4"/>
        </w:numPr>
      </w:pPr>
      <w:r>
        <w:t xml:space="preserve">The garden has a 3-part structure (garden, Eden, wider creation) just like the temple (most holy place, holy place, outer courtyard). </w:t>
      </w:r>
    </w:p>
    <w:p w:rsidR="000A195A" w:rsidRDefault="000A195A" w:rsidP="00D63A65">
      <w:pPr>
        <w:pStyle w:val="ListNumber"/>
        <w:numPr>
          <w:ilvl w:val="0"/>
          <w:numId w:val="0"/>
        </w:numPr>
        <w:ind w:left="720"/>
      </w:pPr>
      <w:r>
        <w:t xml:space="preserve">Yet </w:t>
      </w:r>
      <w:r w:rsidR="002B6F98">
        <w:t xml:space="preserve">this, too, is a stretch. To begin with, the closest thing we have to a tripartite structure in early Genesis is found in 2:8, where it mentions a garden, in Eden, in the east. If wider creation is implied here, it functions as a fourth concentric circle, which would actually leave us with a 4-part structure. </w:t>
      </w:r>
      <w:r w:rsidR="00973753">
        <w:t xml:space="preserve">Even so, </w:t>
      </w:r>
      <w:r>
        <w:t xml:space="preserve">the </w:t>
      </w:r>
      <w:r w:rsidR="00973753">
        <w:t xml:space="preserve">language and </w:t>
      </w:r>
      <w:r>
        <w:t>characteristics of the three</w:t>
      </w:r>
      <w:r w:rsidR="00973753">
        <w:t xml:space="preserve"> or four</w:t>
      </w:r>
      <w:r>
        <w:t xml:space="preserve"> parts implied in Genesis 2-3 don’t parallel the tabernacle </w:t>
      </w:r>
      <w:r w:rsidR="00BF3438">
        <w:t>in any clear way so as</w:t>
      </w:r>
      <w:r>
        <w:t xml:space="preserve"> to constitute </w:t>
      </w:r>
      <w:r w:rsidR="002B6F98">
        <w:t>something like an</w:t>
      </w:r>
      <w:r>
        <w:t xml:space="preserve"> intertextual echo.</w:t>
      </w:r>
    </w:p>
    <w:p w:rsidR="000A195A" w:rsidRDefault="000A195A" w:rsidP="000A195A">
      <w:r>
        <w:t>In sum, the equation of Eden with a divine sanctuary does not fare well under scrutiny. It turns out to be a flimsy case of “</w:t>
      </w:r>
      <w:proofErr w:type="spellStart"/>
      <w:r>
        <w:t>parallelomania</w:t>
      </w:r>
      <w:proofErr w:type="spellEnd"/>
      <w:r>
        <w:t>.” Though God’s presence is no doubt important throughout Scripture</w:t>
      </w:r>
      <w:r w:rsidR="00180C51">
        <w:t>, including the church’s mission</w:t>
      </w:r>
      <w:r>
        <w:t xml:space="preserve">, it is not a major theme </w:t>
      </w:r>
      <w:r w:rsidR="00973753">
        <w:t>in</w:t>
      </w:r>
      <w:r>
        <w:t xml:space="preserve"> Genesis 2. What is more, nowhere in Genesis does God grant his people responsibility for managing, promoting, or otherwise extending the reach of his palpable presence. Those wishing to make such activities central to Christian mission should look elsewhere for support. </w:t>
      </w:r>
      <w:r w:rsidR="00B214FC">
        <w:t xml:space="preserve">Whereas </w:t>
      </w:r>
      <w:r>
        <w:t>God manifests himself at numerous points throug</w:t>
      </w:r>
      <w:r w:rsidR="00B214FC">
        <w:t xml:space="preserve">hout the Genesis narrative, </w:t>
      </w:r>
      <w:r>
        <w:t xml:space="preserve">he does so at his own discretion and without human assistance of any kind. </w:t>
      </w:r>
    </w:p>
    <w:p w:rsidR="000A195A" w:rsidRDefault="00D70442" w:rsidP="00B15896">
      <w:pPr>
        <w:pStyle w:val="Heading4"/>
        <w:jc w:val="center"/>
        <w:rPr>
          <w:rFonts w:eastAsia="Calibri"/>
        </w:rPr>
      </w:pPr>
      <w:r>
        <w:rPr>
          <w:rFonts w:eastAsia="Calibri"/>
        </w:rPr>
        <w:t>A Viable Alternative</w:t>
      </w:r>
    </w:p>
    <w:p w:rsidR="000A195A" w:rsidRDefault="000A195A" w:rsidP="000A195A">
      <w:r>
        <w:t xml:space="preserve">If divine presence in the garden is not what this account is about, what clues does the text provide as to its meaning? A first clue is how the author sets up the creation of humans. The emphasis is on creation’s incompleteness. The ground could not produce vegetation without God providing sustaining rainfall and without humans providing hands to work the soil. From the start, Genesis 2 appears to be about </w:t>
      </w:r>
      <w:bookmarkStart w:id="0" w:name="_GoBack"/>
      <w:bookmarkEnd w:id="0"/>
      <w:r>
        <w:t xml:space="preserve">interconnectedness between God, humans, and land. </w:t>
      </w:r>
    </w:p>
    <w:p w:rsidR="000A195A" w:rsidRDefault="000A195A" w:rsidP="000A195A">
      <w:r>
        <w:t>Such interconnectedness continues in v. 7 with the formation of the first human from the dust of the ground and the breath of life from God. Humans would not be human without God and soil. Likewise, the soil could not serve its intended purposes without God and humans. What remains is for these interdependent creations to be brought together. So God plants a garden in Eden. He puts the human in the garden and he causes every kind of tree to grow from the ground</w:t>
      </w:r>
    </w:p>
    <w:p w:rsidR="000A195A" w:rsidRDefault="000A195A" w:rsidP="000A195A">
      <w:r>
        <w:t xml:space="preserve">Before focusing on humanity, the author describes a river that flows from Eden, passes through the garden, and splits off into four distinct rivers (vv. 10-14). The first river, the otherwise unknown </w:t>
      </w:r>
      <w:proofErr w:type="spellStart"/>
      <w:r>
        <w:t>Pishon</w:t>
      </w:r>
      <w:proofErr w:type="spellEnd"/>
      <w:r>
        <w:t>, flows through the equally unfamiliar region of Havilah. A second unknown river flows through the familiar land of Cush, often identified with Ethiopia</w:t>
      </w:r>
      <w:r w:rsidR="00B15896">
        <w:t>, which has no</w:t>
      </w:r>
      <w:r>
        <w:t xml:space="preserve"> such prominent river. The remaining rivers and regions are familiar: the Tigris flows east of Assyria and the Euphrates flows west of it.</w:t>
      </w:r>
    </w:p>
    <w:p w:rsidR="00EB3C48" w:rsidRDefault="000A195A">
      <w:r>
        <w:t xml:space="preserve">The unfamiliar territory demarcated by these rivers suggests that God provides sustenance for all the lands of the world: far and near, familiar and foreign. Wherever humans end up, they inhabit land that is fertilized by the creator himself. The interconnectedness of God, humans, and soil is not simply a unique feature of Eden; it is a global phenomenon. </w:t>
      </w:r>
      <w:r w:rsidR="00D70442">
        <w:t xml:space="preserve">As such, it should be considered an </w:t>
      </w:r>
      <w:r w:rsidR="00D70442">
        <w:lastRenderedPageBreak/>
        <w:t xml:space="preserve">integral concern of Christian mission. Unfortunately, this concern </w:t>
      </w:r>
      <w:r w:rsidR="005724D0">
        <w:t>goes</w:t>
      </w:r>
      <w:r w:rsidR="00D70442">
        <w:t xml:space="preserve"> overlooked </w:t>
      </w:r>
      <w:r w:rsidR="005724D0">
        <w:t>when</w:t>
      </w:r>
      <w:r w:rsidR="00D70442">
        <w:t xml:space="preserve"> its prominent place in </w:t>
      </w:r>
      <w:r w:rsidR="005724D0">
        <w:t>the creation</w:t>
      </w:r>
      <w:r w:rsidR="00D70442">
        <w:t xml:space="preserve"> account is eclipsed by an over-emphasis on God’s </w:t>
      </w:r>
      <w:proofErr w:type="spellStart"/>
      <w:r w:rsidR="00D70442">
        <w:t>tabernacling</w:t>
      </w:r>
      <w:proofErr w:type="spellEnd"/>
      <w:r w:rsidR="00D70442">
        <w:t xml:space="preserve"> presence.</w:t>
      </w:r>
    </w:p>
    <w:p w:rsidR="00AA2601" w:rsidRDefault="00D75018">
      <w:r>
        <w:t>*** I first developed the thesis of this essay in my commentary on Genesis 1-11, which is part of the Polis Bible Commentary Series published by Urban Loft in 2018.</w:t>
      </w:r>
    </w:p>
    <w:sectPr w:rsidR="00AA2601" w:rsidSect="005724D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E34" w:rsidRDefault="00C04E34" w:rsidP="000A195A">
      <w:pPr>
        <w:spacing w:before="0" w:after="0"/>
      </w:pPr>
      <w:r>
        <w:separator/>
      </w:r>
    </w:p>
  </w:endnote>
  <w:endnote w:type="continuationSeparator" w:id="0">
    <w:p w:rsidR="00C04E34" w:rsidRDefault="00C04E34" w:rsidP="000A19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E34" w:rsidRDefault="00C04E34" w:rsidP="000A195A">
      <w:pPr>
        <w:spacing w:before="0" w:after="0"/>
      </w:pPr>
      <w:r>
        <w:separator/>
      </w:r>
    </w:p>
  </w:footnote>
  <w:footnote w:type="continuationSeparator" w:id="0">
    <w:p w:rsidR="00C04E34" w:rsidRDefault="00C04E34" w:rsidP="000A195A">
      <w:pPr>
        <w:spacing w:before="0" w:after="0"/>
      </w:pPr>
      <w:r>
        <w:continuationSeparator/>
      </w:r>
    </w:p>
  </w:footnote>
  <w:footnote w:id="1">
    <w:p w:rsidR="000A195A" w:rsidRDefault="000A195A" w:rsidP="000A195A">
      <w:pPr>
        <w:pStyle w:val="FootnoteText"/>
      </w:pPr>
      <w:r>
        <w:rPr>
          <w:rStyle w:val="FootnoteReference"/>
          <w:rFonts w:cs="Times New Roman"/>
          <w:sz w:val="20"/>
        </w:rPr>
        <w:footnoteRef/>
      </w:r>
      <w:r>
        <w:t xml:space="preserve"> See G. K. Beale, </w:t>
      </w:r>
      <w:r>
        <w:rPr>
          <w:i/>
        </w:rPr>
        <w:t>The Temple and the Church’s Mission: A Biblical Theology of the Dwelling Place of God</w:t>
      </w:r>
      <w:r>
        <w:t>, New Studies in Biblical Theology 17 (Downers Grove, IL: Intervarsity Press, 2004), 66-80</w:t>
      </w:r>
      <w:r w:rsidR="00463C88">
        <w:t xml:space="preserve">, and “Eden, the Temple, and the Church’s Mission in the New Testament,” </w:t>
      </w:r>
      <w:r w:rsidR="00463C88">
        <w:rPr>
          <w:i/>
        </w:rPr>
        <w:t xml:space="preserve">Journal of the Evangelical Theological Society </w:t>
      </w:r>
      <w:r w:rsidR="00463C88">
        <w:t>48, 1 (Mar 2005): 5-31</w:t>
      </w:r>
      <w:r>
        <w:t xml:space="preserve">; Robert M. </w:t>
      </w:r>
      <w:proofErr w:type="spellStart"/>
      <w:r>
        <w:t>Hinckly</w:t>
      </w:r>
      <w:proofErr w:type="spellEnd"/>
      <w:r>
        <w:t xml:space="preserve"> Jr., “Adam, Aaron, and the Garden Sanctuary,” </w:t>
      </w:r>
      <w:r>
        <w:rPr>
          <w:i/>
        </w:rPr>
        <w:t xml:space="preserve">Logia 4 </w:t>
      </w:r>
      <w:r>
        <w:t xml:space="preserve">(2013): 5-12; </w:t>
      </w:r>
      <w:proofErr w:type="spellStart"/>
      <w:r>
        <w:t>Lifsa</w:t>
      </w:r>
      <w:proofErr w:type="spellEnd"/>
      <w:r>
        <w:t xml:space="preserve"> Block </w:t>
      </w:r>
      <w:proofErr w:type="spellStart"/>
      <w:r>
        <w:t>Schachter</w:t>
      </w:r>
      <w:proofErr w:type="spellEnd"/>
      <w:r>
        <w:t xml:space="preserve">, “The Garden of Eden as God’s First Sanctuary,” </w:t>
      </w:r>
      <w:r>
        <w:rPr>
          <w:i/>
        </w:rPr>
        <w:t xml:space="preserve">Jewish Bible Quarterly </w:t>
      </w:r>
      <w:r>
        <w:t xml:space="preserve">41, no. 2 (Apr-Jun 2013): 73-77; and </w:t>
      </w:r>
      <w:r w:rsidR="00973753">
        <w:t xml:space="preserve">John </w:t>
      </w:r>
      <w:r>
        <w:t xml:space="preserve">Walton, </w:t>
      </w:r>
      <w:r w:rsidR="00973753">
        <w:rPr>
          <w:i/>
        </w:rPr>
        <w:t>The Lost World of Genesis One: Ancient Cosmology and the Origins Debate</w:t>
      </w:r>
      <w:r w:rsidR="00973753">
        <w:t xml:space="preserve"> (Downers Grove, IL: InterVarsity Press, 2009)</w:t>
      </w:r>
      <w:r>
        <w:t>, 82-83.</w:t>
      </w:r>
    </w:p>
  </w:footnote>
  <w:footnote w:id="2">
    <w:p w:rsidR="000A195A" w:rsidRDefault="000A195A" w:rsidP="000A195A">
      <w:pPr>
        <w:pStyle w:val="FootnoteText"/>
      </w:pPr>
      <w:r>
        <w:rPr>
          <w:rStyle w:val="FootnoteReference"/>
          <w:rFonts w:cs="Times New Roman"/>
        </w:rPr>
        <w:footnoteRef/>
      </w:r>
      <w:r>
        <w:t xml:space="preserve"> Beale, </w:t>
      </w:r>
      <w:r>
        <w:rPr>
          <w:i/>
        </w:rPr>
        <w:t>The Temple and the Church’s Mission</w:t>
      </w:r>
      <w:r>
        <w:t xml:space="preserve">, 369 . . . 402. See also, Christopher J. H. Wright, </w:t>
      </w:r>
      <w:r>
        <w:rPr>
          <w:i/>
        </w:rPr>
        <w:t xml:space="preserve">The Mission of God: Unlocking the Bible’s Grand Narrative </w:t>
      </w:r>
      <w:r>
        <w:t>(Downers Grove, IL: InterVarsity, 2006), 334-40.</w:t>
      </w:r>
    </w:p>
  </w:footnote>
  <w:footnote w:id="3">
    <w:p w:rsidR="000A195A" w:rsidRDefault="000A195A" w:rsidP="000A195A">
      <w:pPr>
        <w:pStyle w:val="FootnoteText"/>
      </w:pPr>
      <w:r>
        <w:rPr>
          <w:rStyle w:val="FootnoteReference"/>
          <w:rFonts w:cs="Times New Roman"/>
        </w:rPr>
        <w:footnoteRef/>
      </w:r>
      <w:r>
        <w:t xml:space="preserve"> He also supports his case with ancient Near Eastern parallels and by noting how Ezekiel and two Second Temple Jewish texts speak of Eden. I address the Ezekiel point under point 8 below. The Second Temple references say more about second century Judaism than they do Genesis 2-3, though not all of Beale’s prooftexts even apply.</w:t>
      </w:r>
    </w:p>
  </w:footnote>
  <w:footnote w:id="4">
    <w:p w:rsidR="001278A9" w:rsidRDefault="001278A9">
      <w:pPr>
        <w:pStyle w:val="FootnoteText"/>
      </w:pPr>
      <w:r>
        <w:rPr>
          <w:rStyle w:val="FootnoteReference"/>
        </w:rPr>
        <w:footnoteRef/>
      </w:r>
      <w:r>
        <w:t xml:space="preserve"> </w:t>
      </w:r>
      <w:r w:rsidR="00AE3300" w:rsidRPr="00AE3300">
        <w:t xml:space="preserve">John H. </w:t>
      </w:r>
      <w:r w:rsidR="00AE3300">
        <w:t xml:space="preserve">Walton, </w:t>
      </w:r>
      <w:r w:rsidR="00AE3300">
        <w:rPr>
          <w:i/>
        </w:rPr>
        <w:t>The Lost World of Genesis One</w:t>
      </w:r>
      <w:r w:rsidR="00AE3300" w:rsidRPr="00AE3300">
        <w:t xml:space="preserve">, </w:t>
      </w:r>
      <w:r w:rsidR="00AE3300">
        <w:t xml:space="preserve">and </w:t>
      </w:r>
      <w:r w:rsidR="00AE3300" w:rsidRPr="00AE3300">
        <w:t>“Creatio</w:t>
      </w:r>
      <w:r w:rsidR="00AE3300">
        <w:t>n in Genesis 1:1-2:3 and the An</w:t>
      </w:r>
      <w:r w:rsidR="00AE3300" w:rsidRPr="00AE3300">
        <w:t xml:space="preserve">cient Near East: </w:t>
      </w:r>
      <w:r w:rsidR="00AE3300">
        <w:t xml:space="preserve">Order out of Disorder after </w:t>
      </w:r>
      <w:proofErr w:type="spellStart"/>
      <w:r w:rsidR="00AE3300">
        <w:t>Chaoskampf</w:t>
      </w:r>
      <w:proofErr w:type="spellEnd"/>
      <w:r w:rsidR="00AE3300">
        <w:t>,</w:t>
      </w:r>
      <w:r w:rsidR="00AE3300" w:rsidRPr="00AE3300">
        <w:t xml:space="preserve">” </w:t>
      </w:r>
      <w:r w:rsidR="00AE3300" w:rsidRPr="00AE3300">
        <w:rPr>
          <w:i/>
        </w:rPr>
        <w:t>Calvin Theological Journal</w:t>
      </w:r>
      <w:r w:rsidR="00AE3300" w:rsidRPr="00AE3300">
        <w:t xml:space="preserve"> 43 (2008): 48-63.</w:t>
      </w:r>
    </w:p>
  </w:footnote>
  <w:footnote w:id="5">
    <w:p w:rsidR="00463C88" w:rsidRDefault="00463C88">
      <w:pPr>
        <w:pStyle w:val="FootnoteText"/>
      </w:pPr>
      <w:r>
        <w:rPr>
          <w:rStyle w:val="FootnoteReference"/>
        </w:rPr>
        <w:footnoteRef/>
      </w:r>
      <w:r>
        <w:t xml:space="preserve"> Beale, “Eden, the Temple, and the Church’s Mission,” 7. </w:t>
      </w:r>
    </w:p>
  </w:footnote>
  <w:footnote w:id="6">
    <w:p w:rsidR="00463C88" w:rsidRDefault="00463C88">
      <w:pPr>
        <w:pStyle w:val="FootnoteText"/>
      </w:pPr>
      <w:r>
        <w:rPr>
          <w:rStyle w:val="FootnoteReference"/>
        </w:rPr>
        <w:footnoteRef/>
      </w:r>
      <w:r>
        <w:t xml:space="preserve"> </w:t>
      </w:r>
      <w:r w:rsidRPr="00A8050B">
        <w:t xml:space="preserve">Jeffrey Niehaus, “In the Wind of the Storm,” </w:t>
      </w:r>
      <w:r w:rsidRPr="00A8050B">
        <w:rPr>
          <w:i/>
        </w:rPr>
        <w:t xml:space="preserve">Vetus Testamentum </w:t>
      </w:r>
      <w:r>
        <w:t>46</w:t>
      </w:r>
      <w:r w:rsidRPr="00A8050B">
        <w:t xml:space="preserve"> (1994): 263-267.</w:t>
      </w:r>
    </w:p>
  </w:footnote>
  <w:footnote w:id="7">
    <w:p w:rsidR="000A195A" w:rsidRDefault="000A195A" w:rsidP="000A195A">
      <w:pPr>
        <w:pStyle w:val="FootnoteText"/>
      </w:pPr>
      <w:r>
        <w:rPr>
          <w:rStyle w:val="FootnoteReference"/>
        </w:rPr>
        <w:footnoteRef/>
      </w:r>
      <w:r>
        <w:t xml:space="preserve"> Verse 8 specifies that the garden was a specific place that God planted in the wider region of Eden, so the two places are not identical but overlapping. </w:t>
      </w:r>
    </w:p>
  </w:footnote>
  <w:footnote w:id="8">
    <w:p w:rsidR="000A195A" w:rsidRDefault="000A195A" w:rsidP="000A195A">
      <w:pPr>
        <w:pStyle w:val="FootnoteText"/>
      </w:pPr>
      <w:r>
        <w:rPr>
          <w:rStyle w:val="FootnoteReference"/>
          <w:rFonts w:cs="Times New Roman"/>
        </w:rPr>
        <w:footnoteRef/>
      </w:r>
      <w:r>
        <w:t xml:space="preserve"> </w:t>
      </w:r>
      <w:r w:rsidR="00A36C6F">
        <w:t xml:space="preserve">Paul J. </w:t>
      </w:r>
      <w:r>
        <w:t xml:space="preserve">Kissling, </w:t>
      </w:r>
      <w:r>
        <w:rPr>
          <w:i/>
        </w:rPr>
        <w:t>Genesis</w:t>
      </w:r>
      <w:r>
        <w:t xml:space="preserve">, </w:t>
      </w:r>
      <w:r w:rsidR="00A36C6F">
        <w:t xml:space="preserve">The College Press NIV Commentary, </w:t>
      </w:r>
      <w:r>
        <w:t>vol. 1</w:t>
      </w:r>
      <w:r w:rsidR="00A36C6F">
        <w:t xml:space="preserve"> (Joplin, MO: College Press, 2004)</w:t>
      </w:r>
      <w:r>
        <w:t>, 158.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70168"/>
    <w:multiLevelType w:val="hybridMultilevel"/>
    <w:tmpl w:val="600C20A2"/>
    <w:lvl w:ilvl="0" w:tplc="324CDD92">
      <w:start w:val="1"/>
      <w:numFmt w:val="decimal"/>
      <w:pStyle w:val="ListNumb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63AC12A9"/>
    <w:multiLevelType w:val="hybridMultilevel"/>
    <w:tmpl w:val="23001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5A"/>
    <w:rsid w:val="00040353"/>
    <w:rsid w:val="000845BA"/>
    <w:rsid w:val="000A195A"/>
    <w:rsid w:val="001278A9"/>
    <w:rsid w:val="00136ED0"/>
    <w:rsid w:val="00180C51"/>
    <w:rsid w:val="00196D7F"/>
    <w:rsid w:val="00201593"/>
    <w:rsid w:val="002B6F98"/>
    <w:rsid w:val="0030708A"/>
    <w:rsid w:val="003122A5"/>
    <w:rsid w:val="00323043"/>
    <w:rsid w:val="003F1F5D"/>
    <w:rsid w:val="00463C88"/>
    <w:rsid w:val="00543492"/>
    <w:rsid w:val="005724D0"/>
    <w:rsid w:val="005D5759"/>
    <w:rsid w:val="006069E8"/>
    <w:rsid w:val="00647AF5"/>
    <w:rsid w:val="006F4DF1"/>
    <w:rsid w:val="007E50B7"/>
    <w:rsid w:val="0084695D"/>
    <w:rsid w:val="008B7A4F"/>
    <w:rsid w:val="00904053"/>
    <w:rsid w:val="00973753"/>
    <w:rsid w:val="00A14FE4"/>
    <w:rsid w:val="00A36C6F"/>
    <w:rsid w:val="00AA2601"/>
    <w:rsid w:val="00AE3300"/>
    <w:rsid w:val="00B15896"/>
    <w:rsid w:val="00B214FC"/>
    <w:rsid w:val="00B46FB6"/>
    <w:rsid w:val="00BF3438"/>
    <w:rsid w:val="00C04E34"/>
    <w:rsid w:val="00C34D55"/>
    <w:rsid w:val="00CA6926"/>
    <w:rsid w:val="00D63A65"/>
    <w:rsid w:val="00D70442"/>
    <w:rsid w:val="00D75018"/>
    <w:rsid w:val="00E4630D"/>
    <w:rsid w:val="00EB3C48"/>
    <w:rsid w:val="00F20FD6"/>
    <w:rsid w:val="00FB076B"/>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E50B"/>
  <w15:chartTrackingRefBased/>
  <w15:docId w15:val="{626C4586-F4D6-47DD-9AD2-1034283F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95A"/>
    <w:pPr>
      <w:tabs>
        <w:tab w:val="left" w:pos="432"/>
      </w:tabs>
      <w:spacing w:before="120" w:after="120"/>
      <w:jc w:val="left"/>
    </w:pPr>
    <w:rPr>
      <w:rFonts w:ascii="Georgia" w:eastAsia="Calibri" w:hAnsi="Georgia" w:cs="Arial"/>
      <w:sz w:val="22"/>
      <w:lang w:bidi="he-IL"/>
    </w:rPr>
  </w:style>
  <w:style w:type="paragraph" w:styleId="Heading4">
    <w:name w:val="heading 4"/>
    <w:basedOn w:val="Normal"/>
    <w:next w:val="Normal"/>
    <w:link w:val="Heading4Char"/>
    <w:uiPriority w:val="1"/>
    <w:semiHidden/>
    <w:unhideWhenUsed/>
    <w:qFormat/>
    <w:rsid w:val="000A195A"/>
    <w:pPr>
      <w:keepNext/>
      <w:spacing w:before="240" w:after="60"/>
      <w:outlineLvl w:val="3"/>
    </w:pPr>
    <w:rPr>
      <w:rFonts w:eastAsia="Times New Roman" w:cstheme="majorBidi"/>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semiHidden/>
    <w:rsid w:val="000A195A"/>
    <w:rPr>
      <w:rFonts w:ascii="Georgia" w:eastAsia="Times New Roman" w:hAnsi="Georgia" w:cstheme="majorBidi"/>
      <w:bCs/>
      <w:i/>
      <w:szCs w:val="28"/>
      <w:lang w:bidi="he-IL"/>
    </w:rPr>
  </w:style>
  <w:style w:type="paragraph" w:styleId="FootnoteText">
    <w:name w:val="footnote text"/>
    <w:basedOn w:val="Normal"/>
    <w:link w:val="FootnoteTextChar"/>
    <w:uiPriority w:val="1"/>
    <w:semiHidden/>
    <w:unhideWhenUsed/>
    <w:qFormat/>
    <w:rsid w:val="000A195A"/>
    <w:pPr>
      <w:ind w:firstLine="432"/>
    </w:pPr>
    <w:rPr>
      <w:sz w:val="18"/>
      <w:szCs w:val="20"/>
    </w:rPr>
  </w:style>
  <w:style w:type="character" w:customStyle="1" w:styleId="FootnoteTextChar">
    <w:name w:val="Footnote Text Char"/>
    <w:basedOn w:val="DefaultParagraphFont"/>
    <w:link w:val="FootnoteText"/>
    <w:uiPriority w:val="1"/>
    <w:semiHidden/>
    <w:rsid w:val="000A195A"/>
    <w:rPr>
      <w:rFonts w:ascii="Georgia" w:eastAsia="Calibri" w:hAnsi="Georgia" w:cs="Arial"/>
      <w:sz w:val="18"/>
      <w:szCs w:val="20"/>
      <w:lang w:bidi="he-IL"/>
    </w:rPr>
  </w:style>
  <w:style w:type="paragraph" w:styleId="ListNumber">
    <w:name w:val="List Number"/>
    <w:basedOn w:val="Normal"/>
    <w:uiPriority w:val="1"/>
    <w:unhideWhenUsed/>
    <w:qFormat/>
    <w:rsid w:val="000A195A"/>
    <w:pPr>
      <w:numPr>
        <w:numId w:val="1"/>
      </w:numPr>
    </w:pPr>
  </w:style>
  <w:style w:type="character" w:customStyle="1" w:styleId="IndentedQuoteChar">
    <w:name w:val="Indented Quote Char"/>
    <w:basedOn w:val="DefaultParagraphFont"/>
    <w:link w:val="IndentedQuote"/>
    <w:uiPriority w:val="1"/>
    <w:locked/>
    <w:rsid w:val="000A195A"/>
    <w:rPr>
      <w:rFonts w:ascii="Georgia" w:hAnsi="Georgia"/>
      <w:sz w:val="22"/>
      <w:szCs w:val="16"/>
      <w:lang w:bidi="he-IL"/>
    </w:rPr>
  </w:style>
  <w:style w:type="paragraph" w:customStyle="1" w:styleId="IndentedQuote">
    <w:name w:val="Indented Quote"/>
    <w:basedOn w:val="Normal"/>
    <w:link w:val="IndentedQuoteChar"/>
    <w:uiPriority w:val="1"/>
    <w:qFormat/>
    <w:rsid w:val="000A195A"/>
    <w:pPr>
      <w:ind w:left="360"/>
    </w:pPr>
    <w:rPr>
      <w:rFonts w:eastAsiaTheme="minorHAnsi" w:cstheme="minorBidi"/>
      <w:szCs w:val="16"/>
    </w:rPr>
  </w:style>
  <w:style w:type="character" w:customStyle="1" w:styleId="UrbanHeadingChar">
    <w:name w:val="Urban Heading Char"/>
    <w:basedOn w:val="Heading4Char"/>
    <w:link w:val="UrbanHeading"/>
    <w:locked/>
    <w:rsid w:val="000A195A"/>
    <w:rPr>
      <w:rFonts w:ascii="Georgia" w:eastAsia="Times New Roman" w:hAnsi="Georgia" w:cstheme="majorBidi"/>
      <w:b/>
      <w:bCs/>
      <w:i w:val="0"/>
      <w:szCs w:val="28"/>
      <w:shd w:val="clear" w:color="auto" w:fill="F0F0F0"/>
      <w:lang w:bidi="he-IL"/>
    </w:rPr>
  </w:style>
  <w:style w:type="paragraph" w:customStyle="1" w:styleId="UrbanHeading">
    <w:name w:val="Urban Heading"/>
    <w:basedOn w:val="Heading4"/>
    <w:link w:val="UrbanHeadingChar"/>
    <w:qFormat/>
    <w:rsid w:val="000A195A"/>
    <w:pPr>
      <w:pBdr>
        <w:top w:val="single" w:sz="4" w:space="1" w:color="auto"/>
        <w:left w:val="single" w:sz="4" w:space="4" w:color="auto"/>
        <w:bottom w:val="single" w:sz="4" w:space="1" w:color="auto"/>
        <w:right w:val="single" w:sz="4" w:space="4" w:color="auto"/>
      </w:pBdr>
      <w:shd w:val="clear" w:color="auto" w:fill="F0F0F0"/>
      <w:spacing w:before="120"/>
      <w:jc w:val="center"/>
    </w:pPr>
    <w:rPr>
      <w:b/>
      <w:i w:val="0"/>
    </w:rPr>
  </w:style>
  <w:style w:type="character" w:styleId="FootnoteReference">
    <w:name w:val="footnote reference"/>
    <w:basedOn w:val="DefaultParagraphFont"/>
    <w:uiPriority w:val="2"/>
    <w:semiHidden/>
    <w:unhideWhenUsed/>
    <w:qFormat/>
    <w:rsid w:val="000A19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Nugent</dc:creator>
  <cp:keywords/>
  <dc:description/>
  <cp:lastModifiedBy>John Nugent</cp:lastModifiedBy>
  <cp:revision>7</cp:revision>
  <dcterms:created xsi:type="dcterms:W3CDTF">2020-02-24T13:54:00Z</dcterms:created>
  <dcterms:modified xsi:type="dcterms:W3CDTF">2020-09-07T14:08:00Z</dcterms:modified>
</cp:coreProperties>
</file>